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A8" w:rsidRDefault="0085749D" w:rsidP="00B46FA8">
      <w:pPr>
        <w:spacing w:line="360" w:lineRule="auto"/>
        <w:jc w:val="right"/>
        <w:rPr>
          <w:b/>
        </w:rPr>
      </w:pPr>
      <w:r>
        <w:rPr>
          <w:b/>
        </w:rPr>
        <w:t>Trabajo</w:t>
      </w:r>
    </w:p>
    <w:p w:rsidR="00B46FA8" w:rsidRPr="00BD5438" w:rsidRDefault="00B46FA8" w:rsidP="00B46FA8">
      <w:pPr>
        <w:spacing w:line="360" w:lineRule="auto"/>
        <w:jc w:val="right"/>
        <w:rPr>
          <w:b/>
        </w:rPr>
      </w:pPr>
    </w:p>
    <w:p w:rsidR="00B46FA8" w:rsidRDefault="00730561" w:rsidP="00B46FA8">
      <w:pPr>
        <w:spacing w:line="360" w:lineRule="auto"/>
        <w:jc w:val="center"/>
        <w:rPr>
          <w:b/>
        </w:rPr>
      </w:pPr>
      <w:r w:rsidRPr="00730561">
        <w:rPr>
          <w:b/>
        </w:rPr>
        <w:t>Trabajador despedido alega que su despido se vincula con el reclamo que realizara a la obra social sindical para la cobertura de prestaciones para su hijo </w:t>
      </w:r>
      <w:r w:rsidRPr="00730561">
        <w:rPr>
          <w:b/>
        </w:rPr>
        <w:t>con discapacidad</w:t>
      </w:r>
      <w:r w:rsidRPr="00730561">
        <w:rPr>
          <w:b/>
        </w:rPr>
        <w:t>. </w:t>
      </w:r>
      <w:r>
        <w:rPr>
          <w:b/>
        </w:rPr>
        <w:t>P</w:t>
      </w:r>
      <w:r w:rsidRPr="00730561">
        <w:rPr>
          <w:b/>
        </w:rPr>
        <w:t>ara la Cámara no es suficiente para probar una motivación discriminatoria un estado de WhatsApp</w:t>
      </w:r>
      <w:r w:rsidR="00DC573F">
        <w:rPr>
          <w:b/>
        </w:rPr>
        <w:t>.</w:t>
      </w:r>
    </w:p>
    <w:p w:rsidR="0085749D" w:rsidRPr="0085749D" w:rsidRDefault="0085749D" w:rsidP="00B46FA8">
      <w:pPr>
        <w:spacing w:line="360" w:lineRule="auto"/>
        <w:jc w:val="center"/>
        <w:rPr>
          <w:b/>
        </w:rPr>
      </w:pPr>
    </w:p>
    <w:p w:rsidR="00B46FA8" w:rsidRPr="0085749D" w:rsidRDefault="0085749D" w:rsidP="00B46FA8">
      <w:pPr>
        <w:spacing w:line="360" w:lineRule="auto"/>
        <w:jc w:val="center"/>
        <w:rPr>
          <w:b/>
        </w:rPr>
      </w:pPr>
      <w:bookmarkStart w:id="0" w:name="_GoBack"/>
      <w:r w:rsidRPr="0085749D">
        <w:rPr>
          <w:b/>
        </w:rPr>
        <w:t>“</w:t>
      </w:r>
      <w:r w:rsidR="00730561" w:rsidRPr="00730561">
        <w:rPr>
          <w:b/>
        </w:rPr>
        <w:t>A., H. O. c/ Emprendimiento Rubbernet S.A. s/ Acción de Amparo</w:t>
      </w:r>
      <w:bookmarkEnd w:id="0"/>
      <w:r w:rsidR="00DC573F" w:rsidRPr="0085749D">
        <w:rPr>
          <w:b/>
        </w:rPr>
        <w:t>”</w:t>
      </w:r>
    </w:p>
    <w:p w:rsidR="002A4127" w:rsidRDefault="002A4127" w:rsidP="00107EA7">
      <w:pPr>
        <w:spacing w:line="360" w:lineRule="auto"/>
        <w:jc w:val="both"/>
      </w:pPr>
    </w:p>
    <w:p w:rsidR="00B46FA8" w:rsidRDefault="00B46FA8" w:rsidP="00107EA7">
      <w:pPr>
        <w:spacing w:line="360" w:lineRule="auto"/>
        <w:jc w:val="both"/>
      </w:pPr>
    </w:p>
    <w:p w:rsidR="00730561" w:rsidRDefault="00730561" w:rsidP="00DC573F">
      <w:pPr>
        <w:spacing w:line="360" w:lineRule="auto"/>
        <w:jc w:val="both"/>
      </w:pPr>
      <w:r>
        <w:t xml:space="preserve">En la ciudad de Buenos Aires, capital de la República Argentina, reunidos en la Sala de Acuerdos los señores miembros integrantes de este Tribunal, a fin de considerar el recurso deducido contra la sentencia apelada, se procede a oír las opiniones de los presentes en el orden de sorteo practicado al efecto, resultando así la siguiente exposición de fundamentos y votación: El Dr. Alejandro Hugo Perugini, dijo: Contra la sentencia dictada en la anterior instancia, que al considerar probado un móvil discriminatorio en la decisión resolutoria del contrato comunicada por la demandada en forma verbal el día 5/10/2022, declaró su nulidad, ordenó la reinstalación del actor en el puesto de trabajo que ocupaba al momento del despido y condenó a la demandada al pago de los salarios caídos, se alza la perdidosa a tenor del memorial de fs. 554/562, y también el demandante, quien en su presentación recursiva de fs. 549/552 solicita que los salarios sean abonados según la escala salarial vigente y cuestiona la forma en que ha sido resuelta la reparación del daño material, recursos ambos que han recibido réplica adversa de su contrario de fs. 565/571 y 565/566, respectivamente. Para así decidir, la sentenciante anterior, luego de señalar que un despido carente de justa causa no constituye un acto que encierre necesariamente una discriminación, sostiene que en el caso no existe constancia probatoria que permita inferir que la ruptura decidida por la patronal no tuviera su génesis en el estado de salud del hijo el trabajador, dado que ninguna prueba reveló la existencia de los cambios estructurales en la empresa, ni en su la organización invocados por ella al contestar la acción, por lo que a su entender el despido no tuvo otro motivo que no fuera la salud del hijo del actor, quien generaba grandes erogaciones para la obra social </w:t>
      </w:r>
      <w:r>
        <w:lastRenderedPageBreak/>
        <w:t xml:space="preserve">tratante, con lo cual la magistrada concluye, en decisión que no comparto, que la disolución del vínculo posee como motivo real y oculto la segregación del demandante del colectivo laboral que integraba, con la finalidad encubierta de impedir la continuidad de la cobertura de la obra social. Digo sin compartir pues, como bien se indica en la presentación recursiva, no se han aportado a la causa elementos de prueba que permitan inferir que la decisión resolutoria del contrato decidida por la demandada encubrió una conducta reprochable desde la perspectiva de las previsiones de la ley 23.592, por lo que no considero aplicable al caso la doctrina sentada por la Corte Suprema de Justicia de la Nación en la causa “Pellicori, Liliana Silvia c/ Colegio Público de Abogados de la Capital Federal s/ amparo” del 15 de noviembre de 2011. Repárese, en ese sentido, que en dicho fallo, el máximo Tribunal cual ha decidido, a modo de conclusión, que resultará suficiente que quien afirma la existencia de una motivación discriminatoria acredite hechos que, prima facie evaluados, resulten idóneos para inducir su existencia, en cuyo caso, corresponderá a quien se reprocha la comisión del acto impugnado, la prueba de que éste tuvo como causa un motivo objetivo y razonable ajeno a toda discriminación, Llevados tales conceptos al caso en estudio, no encuentro, reitero, elementos de prueba que vinculen el despido directo con el accionar del demandante contra la obra social, la cual se oponía a cubrir las prestaciones médicas para el tratamiento de su hijo discapacitado, pues si bien es verdad que de las constancias obrantes en la causa civil acompañada se desprende que el tratamiento médico es costoso, como así también que la oposición de la obra social a cubrir las prestaciones motivó el inicio de dos amparos por parte del actor, lo cierto es que este USO OFICIAL Poder Judicial de la Nación  último no aportó pruebas que acrediten que, como lo denunció en la demanda, el conflicto habido con la obra social se trasladó a su ámbito de trabajo a través de los delegados sindicales, quienes, según relata, abiertamente referían a sus compañeros que él le había sacado sumas millonarias a la obra social que, por su culpa, aquella no podía brindar buena cobertura al resto de los afiliados, y que fue de público conocimiento entre los compañeros de trabajo, que las autoridades del Sindicato presionaron a la empresa para que lo despidiera con la clara finalidad de que pierda la cobertura de la obra social y de esa forma liberarla del costo del tratamiento que estaba obligada a brindarle a su hijo por sentencia firme, conforme procesos judiciales que inició contra aquella (ver pto. II del escrito inaugural obrante a fs. 407/413), </w:t>
      </w:r>
      <w:r>
        <w:lastRenderedPageBreak/>
        <w:t xml:space="preserve">pues cabe convenir que la imagen que el actor incorporó a su demanda del estado de WhatsApp del Secretario General del gremio (SOCAYA) que decía “…Se siguen cayendo las naranjas podridas del árbol…”, además de no haber sido un hecho probado en la causa, resulta insuficiente para considerar indiciariamente que la disputa judicial del actor con la obra social fue el motivante del despido decidido por la empleadora. Es por todo ello, que no puede considerarse acreditada la “motivación” a la que refiere el citado precedente jurisprudencial a partir de la sola circunstancia de haber sido despedido el actor sin invocación de causa, la cual por sí sola resulta insuficiente para considerarla como “indicio” a los fines de la inversión de la carga de la prueba pretendida, lo cual impide sostener en esta alzada la hipótesis del despido discriminatorio que la magistrada anterior sostuvo en su pronunciamiento. Consecuentemente, en la medida en que no se ha probado que la decisión rescisoria adoptada por la empleadora se relacione con alguna condición particular del demandante o exceda el normal ejercicio de las facultades resolutorias que la ley reconoce a las partes de un contrato de trabajo, propiciaré la revocatoria del fallo apelado, de modo que deviene inoficioso el tratamiento de los restantes agravios esbozados por las partes en sus respectivas presentaciones recursivas. La referida propuesta, conlleva a dejar sin efecto lo dispuesto en la instancia anterior en materia de costas y honorario y a readecuarlos al nuevo resultado del pleito (conf. Art. 279 del CPCCN). Por ello, sugiero que las costas de ambas instancias sean impuestas en el orden causado pues más allá de que la acción no ha prosperado, considero que las circunstancias particulares ventiladas en esta causa, pudieron hacer que el actor se estimase con derecho a litigar contra su ex empleadora, tal como lo hizo (conf. Art. 68, segundo párrafo, CPCCN). Asimismo, atendiendo al mérito, importancia y la extensión de las labores profesionales desempeñadas, los créditos reclamados y la ley arancelaria aplicable al caso, propicio regular los honorarios de primera instancia, en forma conjunta, de la representación letrada del actor y los de la demandada, en 39,35 UMA ($ 409 240,00), para cada uno de ellos, y los de alzada, en el 30 % para los letrados firmantes de los escritos recursivos, de lo que les corresponda percibir por su actuación en la instancia procesal anterior. Los importes por honorarios no incluyen IVA, el cual de corresponder será abonado por quien deba finalmente retribuir la labor profesional. Por lo expuesto voto por: I. Revocar la sentencia de primera instancia. II. Dejar sin efecto lo dispuesto en la instancia </w:t>
      </w:r>
      <w:r>
        <w:lastRenderedPageBreak/>
        <w:t xml:space="preserve">anterior en materia de costas y honorarios. III. Imponer las costas de ambas instancias en el orden causado. IV. Regular los honorarios de primera instancia de la representación letrada del actor y de la demandada, en ambos casos en forma conjunta, en 39,35 UMA ($ 409 240,00), para cada uno de ellos, más el IVA de corresponder. V. Regular los honorarios de alzada de los letrados firmantes de los escritos recursivos, en el 30 % para cada uno, de lo que les corresponda percibir por su actuación en la instancia procesal anterior, más el IVA de corresponder. USO OFICIAL Poder Judicial de la Nación  La Dra. Diana Regina Cañal, dijo: Por compartir sus fundamentos, adhiero al voto que antecede. Por lo que resulta del acuerdo que antecede, el Tribunal </w:t>
      </w:r>
    </w:p>
    <w:p w:rsidR="00730561" w:rsidRDefault="00730561" w:rsidP="00DC573F">
      <w:pPr>
        <w:spacing w:line="360" w:lineRule="auto"/>
        <w:jc w:val="both"/>
      </w:pPr>
    </w:p>
    <w:p w:rsidR="00B46FA8" w:rsidRPr="00BD5438" w:rsidRDefault="00730561" w:rsidP="00DC573F">
      <w:pPr>
        <w:spacing w:line="360" w:lineRule="auto"/>
        <w:jc w:val="both"/>
      </w:pPr>
      <w:r>
        <w:t>RESUELVE: I. Revocar la sentencia de primera instancia. II. Dejar sin efecto lo dispuesto en la instancia anterior en materia de costas y honorarios. III. Imponer las costas de ambas instancias en el orden causado. IV. Regular los honorarios de primera instancia de la representación letrada del actor y de la demandada, en ambos casos en forma conjunta, en 39,35 UMA ($ 409 240,00), para cada uno de ellos, más el IVA de corresponder. V. Regular los honorarios de alzada de los letrados firmantes de los escritos recursivos, en el 30 % para cada uno, de lo que les corresponda percibir por su actuación en la instancia procesal anterior, más el IVA de corresponder. Oportunamente, cúmplase con lo dispuesto en el art. 1ro de la ley 26.856 y con la Acordada de la CSJN 15/2013.-</w:t>
      </w:r>
    </w:p>
    <w:sectPr w:rsidR="00B46FA8" w:rsidRPr="00BD5438">
      <w:headerReference w:type="default" r:id="rId7"/>
      <w:footerReference w:type="default" r:id="rId8"/>
      <w:pgSz w:w="12240" w:h="15840"/>
      <w:pgMar w:top="1797" w:right="1701" w:bottom="1418" w:left="170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3E8" w:rsidRDefault="000A23E8">
      <w:r>
        <w:separator/>
      </w:r>
    </w:p>
  </w:endnote>
  <w:endnote w:type="continuationSeparator" w:id="0">
    <w:p w:rsidR="000A23E8" w:rsidRDefault="000A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Piedepgina"/>
    </w:pPr>
    <w:r>
      <w:rPr>
        <w:noProof/>
        <w:lang w:val="es-AR" w:eastAsia="es-AR"/>
      </w:rPr>
      <mc:AlternateContent>
        <mc:Choice Requires="wps">
          <w:drawing>
            <wp:anchor distT="0" distB="0" distL="114300" distR="114300" simplePos="0" relativeHeight="251656704" behindDoc="0" locked="0" layoutInCell="1" allowOverlap="1">
              <wp:simplePos x="0" y="0"/>
              <wp:positionH relativeFrom="page">
                <wp:posOffset>6951345</wp:posOffset>
              </wp:positionH>
              <wp:positionV relativeFrom="page">
                <wp:posOffset>9327515</wp:posOffset>
              </wp:positionV>
              <wp:extent cx="561975" cy="561975"/>
              <wp:effectExtent l="7620" t="12065" r="11430" b="6985"/>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7BFDE"/>
                        </a:solidFill>
                        <a:round/>
                        <a:headEnd/>
                        <a:tailEnd/>
                      </a:ln>
                      <a:extLst>
                        <a:ext uri="{909E8E84-426E-40DD-AFC4-6F175D3DCCD1}">
                          <a14:hiddenFill xmlns:a14="http://schemas.microsoft.com/office/drawing/2010/main">
                            <a:solidFill>
                              <a:srgbClr val="C0504D"/>
                            </a:solidFill>
                          </a14:hiddenFill>
                        </a:ext>
                      </a:extLst>
                    </wps:spPr>
                    <wps:txbx>
                      <w:txbxContent>
                        <w:p w:rsidR="004E025E" w:rsidRDefault="004E025E">
                          <w:pPr>
                            <w:pStyle w:val="Piedepgina"/>
                            <w:rPr>
                              <w:color w:val="4F81BD"/>
                            </w:rPr>
                          </w:pPr>
                          <w:r>
                            <w:fldChar w:fldCharType="begin"/>
                          </w:r>
                          <w:r>
                            <w:instrText xml:space="preserve"> PAGE  \* MERGEFORMAT </w:instrText>
                          </w:r>
                          <w:r>
                            <w:fldChar w:fldCharType="separate"/>
                          </w:r>
                          <w:r w:rsidR="00730561" w:rsidRPr="00730561">
                            <w:rPr>
                              <w:noProof/>
                              <w:color w:val="4F81BD"/>
                            </w:rPr>
                            <w:t>1</w:t>
                          </w:r>
                          <w: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5" o:spid="_x0000_s1026" style="position:absolute;margin-left:547.35pt;margin-top:734.45pt;width:44.25pt;height:44.25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" filled="f" fillcolor="#c0504d" strokecolor="#a7bfde" strokeweight="1pt">
              <v:textbox inset=",0,,0">
                <w:txbxContent>
                  <w:p w:rsidR="004E025E" w:rsidRDefault="004E025E">
                    <w:pPr>
                      <w:pStyle w:val="Piedepgina"/>
                      <w:rPr>
                        <w:color w:val="4F81BD"/>
                      </w:rPr>
                    </w:pPr>
                    <w:r>
                      <w:fldChar w:fldCharType="begin"/>
                    </w:r>
                    <w:r>
                      <w:instrText xml:space="preserve"> PAGE  \* MERGEFORMAT </w:instrText>
                    </w:r>
                    <w:r>
                      <w:fldChar w:fldCharType="separate"/>
                    </w:r>
                    <w:r w:rsidR="00730561" w:rsidRPr="00730561">
                      <w:rPr>
                        <w:noProof/>
                        <w:color w:val="4F81BD"/>
                      </w:rPr>
                      <w:t>1</w:t>
                    </w:r>
                    <w: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3E8" w:rsidRDefault="000A23E8">
      <w:r>
        <w:separator/>
      </w:r>
    </w:p>
  </w:footnote>
  <w:footnote w:type="continuationSeparator" w:id="0">
    <w:p w:rsidR="000A23E8" w:rsidRDefault="000A23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Encabezado"/>
      <w:pBdr>
        <w:between w:val="single" w:sz="4" w:space="1" w:color="4F81BD"/>
      </w:pBdr>
      <w:spacing w:line="276" w:lineRule="auto"/>
      <w:jc w:val="center"/>
      <w:rPr>
        <w:rFonts w:ascii="Calibri" w:hAnsi="Calibri"/>
        <w:sz w:val="20"/>
        <w:szCs w:val="20"/>
      </w:rPr>
    </w:pPr>
    <w:r>
      <w:rPr>
        <w:noProof/>
        <w:lang w:val="es-AR" w:eastAsia="es-AR"/>
      </w:rPr>
      <w:drawing>
        <wp:anchor distT="0" distB="0" distL="114300" distR="114300" simplePos="0" relativeHeight="251658752" behindDoc="0" locked="0" layoutInCell="1" allowOverlap="1">
          <wp:simplePos x="0" y="0"/>
          <wp:positionH relativeFrom="margin">
            <wp:posOffset>38100</wp:posOffset>
          </wp:positionH>
          <wp:positionV relativeFrom="margin">
            <wp:posOffset>-1007110</wp:posOffset>
          </wp:positionV>
          <wp:extent cx="866775" cy="841375"/>
          <wp:effectExtent l="0" t="0" r="0" b="0"/>
          <wp:wrapSquare wrapText="bothSides"/>
          <wp:docPr id="17" name="Imagen 17" desc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es-AR" w:eastAsia="es-AR"/>
      </w:rPr>
      <w:drawing>
        <wp:anchor distT="0" distB="0" distL="114300" distR="114300" simplePos="0" relativeHeight="251657728" behindDoc="0" locked="0" layoutInCell="1" allowOverlap="1">
          <wp:simplePos x="0" y="0"/>
          <wp:positionH relativeFrom="margin">
            <wp:posOffset>4752975</wp:posOffset>
          </wp:positionH>
          <wp:positionV relativeFrom="margin">
            <wp:posOffset>-920750</wp:posOffset>
          </wp:positionV>
          <wp:extent cx="1344295" cy="661035"/>
          <wp:effectExtent l="0" t="0" r="0" b="0"/>
          <wp:wrapSquare wrapText="bothSides"/>
          <wp:docPr id="16" name="Imagen 16" descr="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APAC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4FE">
      <w:rPr>
        <w:rFonts w:ascii="Calibri" w:hAnsi="Calibri"/>
        <w:sz w:val="20"/>
        <w:szCs w:val="20"/>
        <w:lang w:val="es-AR"/>
      </w:rPr>
      <w:t>Biblioteca Digital</w:t>
    </w:r>
    <w:r w:rsidR="004E025E">
      <w:rPr>
        <w:rFonts w:ascii="Calibri" w:hAnsi="Calibri"/>
        <w:sz w:val="20"/>
        <w:szCs w:val="20"/>
        <w:lang w:val="es-AR"/>
      </w:rPr>
      <w:t xml:space="preserve"> de Jurisprudencia sobre Discapacidad</w:t>
    </w:r>
  </w:p>
  <w:p w:rsidR="004E025E" w:rsidRDefault="002A4127" w:rsidP="002A4127">
    <w:pPr>
      <w:pStyle w:val="Encabezado"/>
      <w:pBdr>
        <w:between w:val="single" w:sz="4" w:space="1" w:color="4F81BD"/>
      </w:pBdr>
      <w:tabs>
        <w:tab w:val="center" w:pos="4419"/>
        <w:tab w:val="right" w:pos="8838"/>
      </w:tabs>
      <w:spacing w:line="276" w:lineRule="auto"/>
      <w:jc w:val="center"/>
      <w:rPr>
        <w:sz w:val="20"/>
        <w:szCs w:val="20"/>
      </w:rPr>
    </w:pPr>
    <w:r>
      <w:rPr>
        <w:rFonts w:ascii="Calibri" w:hAnsi="Calibri"/>
        <w:sz w:val="20"/>
        <w:szCs w:val="20"/>
      </w:rPr>
      <w:t xml:space="preserve">Facultad de Derecho- </w:t>
    </w:r>
    <w:r w:rsidR="004E025E">
      <w:rPr>
        <w:rFonts w:ascii="Calibri" w:hAnsi="Calibri"/>
        <w:sz w:val="20"/>
        <w:szCs w:val="20"/>
      </w:rPr>
      <w:t>UBA</w:t>
    </w:r>
  </w:p>
  <w:p w:rsidR="004E025E" w:rsidRDefault="004E02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4814"/>
    <w:multiLevelType w:val="hybridMultilevel"/>
    <w:tmpl w:val="09C07CFA"/>
    <w:lvl w:ilvl="0" w:tplc="807814D2">
      <w:start w:val="1"/>
      <w:numFmt w:val="upperRoman"/>
      <w:lvlText w:val="%1."/>
      <w:lvlJc w:val="left"/>
      <w:pPr>
        <w:ind w:left="1500" w:hanging="720"/>
      </w:pPr>
      <w:rPr>
        <w:rFonts w:hint="default"/>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 w15:restartNumberingAfterBreak="0">
    <w:nsid w:val="53A81D0B"/>
    <w:multiLevelType w:val="hybridMultilevel"/>
    <w:tmpl w:val="3B12B494"/>
    <w:lvl w:ilvl="0" w:tplc="08843122">
      <w:start w:val="1"/>
      <w:numFmt w:val="upperRoman"/>
      <w:lvlText w:val="%1)"/>
      <w:lvlJc w:val="left"/>
      <w:pPr>
        <w:ind w:left="780" w:hanging="72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A3"/>
    <w:rsid w:val="0001492B"/>
    <w:rsid w:val="000176F0"/>
    <w:rsid w:val="000A23E8"/>
    <w:rsid w:val="000D1AF6"/>
    <w:rsid w:val="000D3620"/>
    <w:rsid w:val="00107EA7"/>
    <w:rsid w:val="00115967"/>
    <w:rsid w:val="00131DF3"/>
    <w:rsid w:val="00137706"/>
    <w:rsid w:val="00166F11"/>
    <w:rsid w:val="0019302D"/>
    <w:rsid w:val="002A4127"/>
    <w:rsid w:val="002B4551"/>
    <w:rsid w:val="002D0D31"/>
    <w:rsid w:val="00313BFE"/>
    <w:rsid w:val="00345798"/>
    <w:rsid w:val="003A1D34"/>
    <w:rsid w:val="003B28C6"/>
    <w:rsid w:val="003C4222"/>
    <w:rsid w:val="003D06A7"/>
    <w:rsid w:val="0042778A"/>
    <w:rsid w:val="00435E4F"/>
    <w:rsid w:val="0043752A"/>
    <w:rsid w:val="00450C29"/>
    <w:rsid w:val="004A0AC3"/>
    <w:rsid w:val="004A1618"/>
    <w:rsid w:val="004D1B48"/>
    <w:rsid w:val="004E025E"/>
    <w:rsid w:val="00503FEC"/>
    <w:rsid w:val="00570DDE"/>
    <w:rsid w:val="00594F9F"/>
    <w:rsid w:val="005E0EE3"/>
    <w:rsid w:val="005E2A74"/>
    <w:rsid w:val="00634242"/>
    <w:rsid w:val="0067632A"/>
    <w:rsid w:val="006C055D"/>
    <w:rsid w:val="006F2FA3"/>
    <w:rsid w:val="00730561"/>
    <w:rsid w:val="007308B8"/>
    <w:rsid w:val="007660F6"/>
    <w:rsid w:val="007946FF"/>
    <w:rsid w:val="00795DD3"/>
    <w:rsid w:val="007B2C1A"/>
    <w:rsid w:val="007E3522"/>
    <w:rsid w:val="007F4616"/>
    <w:rsid w:val="007F6F71"/>
    <w:rsid w:val="00851414"/>
    <w:rsid w:val="0085749D"/>
    <w:rsid w:val="00887BF0"/>
    <w:rsid w:val="008C04FE"/>
    <w:rsid w:val="009B7E1A"/>
    <w:rsid w:val="009D207B"/>
    <w:rsid w:val="009D74D6"/>
    <w:rsid w:val="009F008F"/>
    <w:rsid w:val="00A72234"/>
    <w:rsid w:val="00AB11E5"/>
    <w:rsid w:val="00AC20E4"/>
    <w:rsid w:val="00AD3D8D"/>
    <w:rsid w:val="00B44368"/>
    <w:rsid w:val="00B46FA8"/>
    <w:rsid w:val="00BD5438"/>
    <w:rsid w:val="00C23A38"/>
    <w:rsid w:val="00C3001D"/>
    <w:rsid w:val="00C56BE1"/>
    <w:rsid w:val="00CD477A"/>
    <w:rsid w:val="00D34810"/>
    <w:rsid w:val="00D90407"/>
    <w:rsid w:val="00DC3702"/>
    <w:rsid w:val="00DC573F"/>
    <w:rsid w:val="00F86562"/>
    <w:rsid w:val="00F971F0"/>
    <w:rsid w:val="00FB3E93"/>
    <w:rsid w:val="00FE37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7D56F"/>
  <w15:chartTrackingRefBased/>
  <w15:docId w15:val="{46392BCC-A936-4887-9639-E21D5C77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zul">
    <w:name w:val="azul"/>
    <w:basedOn w:val="Fuentedeprrafopredeter"/>
  </w:style>
  <w:style w:type="paragraph" w:styleId="NormalWeb">
    <w:name w:val="Normal (Web)"/>
    <w:basedOn w:val="Normal"/>
    <w:uiPriority w:val="99"/>
    <w:semiHidden/>
    <w:pPr>
      <w:spacing w:before="100" w:beforeAutospacing="1" w:after="100" w:afterAutospacing="1"/>
    </w:pPr>
  </w:style>
  <w:style w:type="paragraph" w:styleId="Encabezado">
    <w:name w:val="header"/>
    <w:basedOn w:val="Normal"/>
    <w:unhideWhenUsed/>
    <w:pPr>
      <w:tabs>
        <w:tab w:val="center" w:pos="4252"/>
        <w:tab w:val="right" w:pos="8504"/>
      </w:tabs>
    </w:pPr>
  </w:style>
  <w:style w:type="character" w:customStyle="1" w:styleId="EncabezadoCar">
    <w:name w:val="Encabezado Car"/>
    <w:basedOn w:val="Fuentedeprrafopredeter"/>
    <w:rPr>
      <w:sz w:val="24"/>
      <w:szCs w:val="24"/>
    </w:rPr>
  </w:style>
  <w:style w:type="paragraph" w:styleId="Piedepgina">
    <w:name w:val="footer"/>
    <w:basedOn w:val="Normal"/>
    <w:unhideWhenUsed/>
    <w:pPr>
      <w:tabs>
        <w:tab w:val="center" w:pos="4252"/>
        <w:tab w:val="right" w:pos="8504"/>
      </w:tabs>
    </w:pPr>
  </w:style>
  <w:style w:type="character" w:customStyle="1" w:styleId="PiedepginaCar">
    <w:name w:val="Pie de página Car"/>
    <w:basedOn w:val="Fuentedeprrafopredeter"/>
    <w:rPr>
      <w:sz w:val="24"/>
      <w:szCs w:val="24"/>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basedOn w:val="Fuentedeprrafopredeter"/>
    <w:semiHidden/>
    <w:rPr>
      <w:rFonts w:ascii="Tahoma" w:hAnsi="Tahoma" w:cs="Tahoma"/>
      <w:sz w:val="16"/>
      <w:szCs w:val="16"/>
    </w:rPr>
  </w:style>
  <w:style w:type="character" w:customStyle="1" w:styleId="cuerpo1">
    <w:name w:val="cuerpo1"/>
    <w:basedOn w:val="Fuentedeprrafopredeter"/>
    <w:rPr>
      <w:rFonts w:ascii="Tahoma" w:hAnsi="Tahoma" w:cs="Tahoma" w:hint="default"/>
      <w:color w:val="333333"/>
      <w:sz w:val="18"/>
      <w:szCs w:val="18"/>
    </w:rPr>
  </w:style>
  <w:style w:type="character" w:customStyle="1" w:styleId="text-danger">
    <w:name w:val="text-danger"/>
    <w:rsid w:val="007F4616"/>
  </w:style>
  <w:style w:type="paragraph" w:styleId="Prrafodelista">
    <w:name w:val="List Paragraph"/>
    <w:basedOn w:val="Normal"/>
    <w:uiPriority w:val="34"/>
    <w:qFormat/>
    <w:rsid w:val="00851414"/>
    <w:pPr>
      <w:ind w:left="720"/>
      <w:contextualSpacing/>
    </w:pPr>
  </w:style>
  <w:style w:type="character" w:styleId="Hipervnculo">
    <w:name w:val="Hyperlink"/>
    <w:basedOn w:val="Fuentedeprrafopredeter"/>
    <w:uiPriority w:val="99"/>
    <w:semiHidden/>
    <w:unhideWhenUsed/>
    <w:rsid w:val="009F0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1550">
      <w:bodyDiv w:val="1"/>
      <w:marLeft w:val="0"/>
      <w:marRight w:val="0"/>
      <w:marTop w:val="0"/>
      <w:marBottom w:val="0"/>
      <w:divBdr>
        <w:top w:val="none" w:sz="0" w:space="0" w:color="auto"/>
        <w:left w:val="none" w:sz="0" w:space="0" w:color="auto"/>
        <w:bottom w:val="none" w:sz="0" w:space="0" w:color="auto"/>
        <w:right w:val="none" w:sz="0" w:space="0" w:color="auto"/>
      </w:divBdr>
    </w:div>
    <w:div w:id="969172115">
      <w:bodyDiv w:val="1"/>
      <w:marLeft w:val="0"/>
      <w:marRight w:val="0"/>
      <w:marTop w:val="0"/>
      <w:marBottom w:val="0"/>
      <w:divBdr>
        <w:top w:val="none" w:sz="0" w:space="0" w:color="auto"/>
        <w:left w:val="none" w:sz="0" w:space="0" w:color="auto"/>
        <w:bottom w:val="none" w:sz="0" w:space="0" w:color="auto"/>
        <w:right w:val="none" w:sz="0" w:space="0" w:color="auto"/>
      </w:divBdr>
    </w:div>
    <w:div w:id="112901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7780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Base de Datos de Jurisprudencia sobre Discapacidad</vt:lpstr>
    </vt:vector>
  </TitlesOfParts>
  <Company>Facultad de Derecho</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de Datos de Jurisprudencia sobre Discapacidad</dc:title>
  <dc:subject/>
  <dc:creator>Carrera</dc:creator>
  <cp:keywords/>
  <cp:lastModifiedBy>Belen</cp:lastModifiedBy>
  <cp:revision>2</cp:revision>
  <cp:lastPrinted>2025-11-19T12:17:00Z</cp:lastPrinted>
  <dcterms:created xsi:type="dcterms:W3CDTF">2025-11-19T12:18:00Z</dcterms:created>
  <dcterms:modified xsi:type="dcterms:W3CDTF">2025-11-19T12:18:00Z</dcterms:modified>
</cp:coreProperties>
</file>